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15D1" w14:textId="77777777" w:rsidR="00CE4451" w:rsidRPr="00CE4451" w:rsidRDefault="00CE4451" w:rsidP="00CE4451">
      <w:pPr>
        <w:pStyle w:val="Ttulo1"/>
        <w:jc w:val="center"/>
        <w:rPr>
          <w:color w:val="auto"/>
          <w:kern w:val="36"/>
          <w:sz w:val="48"/>
          <w:szCs w:val="48"/>
        </w:rPr>
      </w:pPr>
      <w:r w:rsidRPr="00CE4451">
        <w:rPr>
          <w:color w:val="auto"/>
        </w:rPr>
        <w:t>Plan de Gestión de Costos</w:t>
      </w:r>
    </w:p>
    <w:p w14:paraId="03E8AB20" w14:textId="77777777" w:rsidR="00CE4451" w:rsidRDefault="00CE4451" w:rsidP="00CE4451">
      <w:pPr>
        <w:pStyle w:val="NormalWeb"/>
        <w:spacing w:line="480" w:lineRule="auto"/>
      </w:pPr>
      <w:r>
        <w:rPr>
          <w:rStyle w:val="Textoennegrita"/>
        </w:rPr>
        <w:t>1. Propósito del plan de costos</w:t>
      </w:r>
    </w:p>
    <w:p w14:paraId="0FF9A6F2" w14:textId="77777777" w:rsidR="00CE4451" w:rsidRDefault="00CE4451" w:rsidP="00CE4451">
      <w:pPr>
        <w:pStyle w:val="NormalWeb"/>
        <w:numPr>
          <w:ilvl w:val="0"/>
          <w:numId w:val="4"/>
        </w:numPr>
        <w:spacing w:line="480" w:lineRule="auto"/>
      </w:pPr>
      <w:r>
        <w:rPr>
          <w:rStyle w:val="Textoennegrita"/>
        </w:rPr>
        <w:t>Explicación:</w:t>
      </w:r>
      <w:r>
        <w:t xml:space="preserve"> El plan de costos define cuánto costará el proyecto y cómo se controlará el uso del dinero. En proyectos culturales, también se deben reconocer los </w:t>
      </w:r>
      <w:r>
        <w:rPr>
          <w:rStyle w:val="Textoennegrita"/>
        </w:rPr>
        <w:t>aportes en especie y comunitarios</w:t>
      </w:r>
      <w:r>
        <w:t xml:space="preserve"> (mingas, voluntariado, préstamos de espacios).</w:t>
      </w:r>
    </w:p>
    <w:p w14:paraId="77864DDB" w14:textId="77777777" w:rsidR="00CE4451" w:rsidRDefault="00CE4451" w:rsidP="00CE4451">
      <w:pPr>
        <w:pStyle w:val="NormalWeb"/>
        <w:numPr>
          <w:ilvl w:val="0"/>
          <w:numId w:val="4"/>
        </w:numPr>
        <w:spacing w:line="480" w:lineRule="auto"/>
      </w:pPr>
      <w:r>
        <w:rPr>
          <w:rStyle w:val="Textoennegrita"/>
        </w:rPr>
        <w:t>Ejemplo:</w:t>
      </w:r>
      <w:r>
        <w:t xml:space="preserve"> Este plan permite proyectar un presupuesto de $120 millones, garantizando transparencia en el uso de los recursos y visibilizando los aportes de las comunidades.</w:t>
      </w:r>
    </w:p>
    <w:p w14:paraId="7665B062" w14:textId="77777777" w:rsidR="00CE4451" w:rsidRDefault="00CE4451" w:rsidP="00CE4451">
      <w:pPr>
        <w:pStyle w:val="NormalWeb"/>
        <w:spacing w:line="480" w:lineRule="auto"/>
      </w:pPr>
      <w:r>
        <w:rPr>
          <w:rStyle w:val="Textoennegrita"/>
        </w:rPr>
        <w:t>2. Componentes del plan de costos</w:t>
      </w:r>
    </w:p>
    <w:p w14:paraId="362C9A1C" w14:textId="77777777" w:rsidR="00CE4451" w:rsidRDefault="00CE4451" w:rsidP="00CE4451">
      <w:pPr>
        <w:pStyle w:val="NormalWeb"/>
        <w:numPr>
          <w:ilvl w:val="0"/>
          <w:numId w:val="5"/>
        </w:numPr>
        <w:spacing w:line="480" w:lineRule="auto"/>
      </w:pPr>
      <w:r>
        <w:rPr>
          <w:rStyle w:val="Textoennegrita"/>
        </w:rPr>
        <w:t>Explicación:</w:t>
      </w:r>
      <w:r>
        <w:t xml:space="preserve"> Incluye:</w:t>
      </w:r>
    </w:p>
    <w:p w14:paraId="6820FD69" w14:textId="77777777" w:rsidR="00CE4451" w:rsidRDefault="00CE4451" w:rsidP="00CE4451">
      <w:pPr>
        <w:pStyle w:val="NormalWeb"/>
        <w:numPr>
          <w:ilvl w:val="1"/>
          <w:numId w:val="5"/>
        </w:numPr>
        <w:spacing w:line="480" w:lineRule="auto"/>
      </w:pPr>
      <w:r>
        <w:t>Presupuesto total del proyecto.</w:t>
      </w:r>
    </w:p>
    <w:p w14:paraId="54A68BCC" w14:textId="77777777" w:rsidR="00CE4451" w:rsidRDefault="00CE4451" w:rsidP="00CE4451">
      <w:pPr>
        <w:pStyle w:val="NormalWeb"/>
        <w:numPr>
          <w:ilvl w:val="1"/>
          <w:numId w:val="5"/>
        </w:numPr>
        <w:spacing w:line="480" w:lineRule="auto"/>
      </w:pPr>
      <w:r>
        <w:t>Detalle de costos por actividad.</w:t>
      </w:r>
    </w:p>
    <w:p w14:paraId="144DE51B" w14:textId="77777777" w:rsidR="00CE4451" w:rsidRDefault="00CE4451" w:rsidP="00CE4451">
      <w:pPr>
        <w:pStyle w:val="NormalWeb"/>
        <w:numPr>
          <w:ilvl w:val="1"/>
          <w:numId w:val="5"/>
        </w:numPr>
        <w:spacing w:line="480" w:lineRule="auto"/>
      </w:pPr>
      <w:r>
        <w:t>Fuentes de financiación (institucionales y comunitarias).</w:t>
      </w:r>
    </w:p>
    <w:p w14:paraId="0B5B080A" w14:textId="77777777" w:rsidR="00CE4451" w:rsidRDefault="00CE4451" w:rsidP="00CE4451">
      <w:pPr>
        <w:pStyle w:val="NormalWeb"/>
        <w:numPr>
          <w:ilvl w:val="1"/>
          <w:numId w:val="5"/>
        </w:numPr>
        <w:spacing w:line="480" w:lineRule="auto"/>
      </w:pPr>
      <w:r>
        <w:t>Estrategias de control y seguimiento.</w:t>
      </w:r>
    </w:p>
    <w:p w14:paraId="3E502932" w14:textId="77777777" w:rsidR="00CE4451" w:rsidRDefault="00CE4451" w:rsidP="00CE4451">
      <w:pPr>
        <w:pStyle w:val="NormalWeb"/>
        <w:numPr>
          <w:ilvl w:val="0"/>
          <w:numId w:val="5"/>
        </w:numPr>
        <w:spacing w:line="480" w:lineRule="auto"/>
      </w:pPr>
      <w:r>
        <w:rPr>
          <w:rStyle w:val="Textoennegrita"/>
        </w:rPr>
        <w:t>Ejemplo:</w:t>
      </w:r>
    </w:p>
    <w:p w14:paraId="24493A88" w14:textId="77777777" w:rsidR="00CE4451" w:rsidRDefault="00CE4451" w:rsidP="00CE4451">
      <w:pPr>
        <w:pStyle w:val="NormalWeb"/>
        <w:numPr>
          <w:ilvl w:val="1"/>
          <w:numId w:val="5"/>
        </w:numPr>
        <w:spacing w:line="480" w:lineRule="auto"/>
      </w:pPr>
      <w:r>
        <w:t>Costos de capacitación, materiales, transporte, logística.</w:t>
      </w:r>
    </w:p>
    <w:p w14:paraId="2857454E" w14:textId="77777777" w:rsidR="00CE4451" w:rsidRDefault="00CE4451" w:rsidP="00CE4451">
      <w:pPr>
        <w:pStyle w:val="NormalWeb"/>
        <w:numPr>
          <w:ilvl w:val="1"/>
          <w:numId w:val="5"/>
        </w:numPr>
        <w:spacing w:line="480" w:lineRule="auto"/>
      </w:pPr>
      <w:r>
        <w:t>Aportes de comunidades en especie: uso de salones, alimentación comunitaria.</w:t>
      </w:r>
    </w:p>
    <w:p w14:paraId="370A8945" w14:textId="77777777" w:rsidR="00CE4451" w:rsidRDefault="00CE4451" w:rsidP="00CE4451">
      <w:pPr>
        <w:pStyle w:val="NormalWeb"/>
        <w:numPr>
          <w:ilvl w:val="1"/>
          <w:numId w:val="5"/>
        </w:numPr>
        <w:spacing w:line="480" w:lineRule="auto"/>
      </w:pPr>
      <w:r>
        <w:t>Estrategia: revisión mensual de ejecución presupuestal.</w:t>
      </w:r>
    </w:p>
    <w:p w14:paraId="2A40DDEE" w14:textId="77777777" w:rsidR="00CE4451" w:rsidRDefault="00CE4451" w:rsidP="00CE4451">
      <w:pPr>
        <w:pStyle w:val="NormalWeb"/>
        <w:rPr>
          <w:rStyle w:val="Textoennegrita"/>
        </w:rPr>
      </w:pPr>
      <w:r>
        <w:rPr>
          <w:rStyle w:val="Textoennegrita"/>
        </w:rPr>
        <w:lastRenderedPageBreak/>
        <w:t xml:space="preserve">3. Presupuesto detallado </w:t>
      </w:r>
    </w:p>
    <w:tbl>
      <w:tblPr>
        <w:tblStyle w:val="APA7"/>
        <w:tblW w:w="0" w:type="auto"/>
        <w:tblLook w:val="04A0" w:firstRow="1" w:lastRow="0" w:firstColumn="1" w:lastColumn="0" w:noHBand="0" w:noVBand="1"/>
      </w:tblPr>
      <w:tblGrid>
        <w:gridCol w:w="1439"/>
        <w:gridCol w:w="2300"/>
        <w:gridCol w:w="1437"/>
        <w:gridCol w:w="1838"/>
        <w:gridCol w:w="1824"/>
      </w:tblGrid>
      <w:tr w:rsidR="00CE4451" w:rsidRPr="008913ED" w14:paraId="5B8F5A79" w14:textId="77777777" w:rsidTr="008A01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hideMark/>
          </w:tcPr>
          <w:p w14:paraId="158EC057" w14:textId="77777777" w:rsidR="00CE4451" w:rsidRPr="008913ED" w:rsidRDefault="00CE4451" w:rsidP="008A01E3">
            <w:pPr>
              <w:jc w:val="center"/>
              <w:rPr>
                <w:b/>
                <w:bCs/>
                <w:lang w:eastAsia="es-MX"/>
              </w:rPr>
            </w:pPr>
            <w:r w:rsidRPr="008913ED">
              <w:rPr>
                <w:b/>
                <w:bCs/>
                <w:lang w:eastAsia="es-MX"/>
              </w:rPr>
              <w:t>Rubro</w:t>
            </w:r>
          </w:p>
        </w:tc>
        <w:tc>
          <w:tcPr>
            <w:tcW w:w="0" w:type="auto"/>
            <w:hideMark/>
          </w:tcPr>
          <w:p w14:paraId="20758B05" w14:textId="77777777" w:rsidR="00CE4451" w:rsidRPr="008913ED" w:rsidRDefault="00CE4451" w:rsidP="008A01E3">
            <w:pPr>
              <w:jc w:val="center"/>
              <w:rPr>
                <w:b/>
                <w:bCs/>
                <w:lang w:eastAsia="es-MX"/>
              </w:rPr>
            </w:pPr>
            <w:r w:rsidRPr="008913ED">
              <w:rPr>
                <w:b/>
                <w:bCs/>
                <w:lang w:eastAsia="es-MX"/>
              </w:rPr>
              <w:t>Descripción</w:t>
            </w:r>
          </w:p>
        </w:tc>
        <w:tc>
          <w:tcPr>
            <w:tcW w:w="0" w:type="auto"/>
            <w:hideMark/>
          </w:tcPr>
          <w:p w14:paraId="5863083F" w14:textId="77777777" w:rsidR="00CE4451" w:rsidRPr="008913ED" w:rsidRDefault="00CE4451" w:rsidP="008A01E3">
            <w:pPr>
              <w:jc w:val="center"/>
              <w:rPr>
                <w:b/>
                <w:bCs/>
                <w:lang w:eastAsia="es-MX"/>
              </w:rPr>
            </w:pPr>
            <w:r w:rsidRPr="008913ED">
              <w:rPr>
                <w:b/>
                <w:bCs/>
                <w:lang w:eastAsia="es-MX"/>
              </w:rPr>
              <w:t>Valor (COP)</w:t>
            </w:r>
          </w:p>
        </w:tc>
        <w:tc>
          <w:tcPr>
            <w:tcW w:w="0" w:type="auto"/>
            <w:hideMark/>
          </w:tcPr>
          <w:p w14:paraId="6A403306" w14:textId="77777777" w:rsidR="00CE4451" w:rsidRPr="008913ED" w:rsidRDefault="00CE4451" w:rsidP="008A01E3">
            <w:pPr>
              <w:jc w:val="center"/>
              <w:rPr>
                <w:b/>
                <w:bCs/>
                <w:lang w:eastAsia="es-MX"/>
              </w:rPr>
            </w:pPr>
            <w:r w:rsidRPr="008913ED">
              <w:rPr>
                <w:b/>
                <w:bCs/>
                <w:lang w:eastAsia="es-MX"/>
              </w:rPr>
              <w:t>Fuente de financiación</w:t>
            </w:r>
          </w:p>
        </w:tc>
        <w:tc>
          <w:tcPr>
            <w:tcW w:w="0" w:type="auto"/>
            <w:hideMark/>
          </w:tcPr>
          <w:p w14:paraId="3BF25ABA" w14:textId="77777777" w:rsidR="00CE4451" w:rsidRPr="008913ED" w:rsidRDefault="00CE4451" w:rsidP="008A01E3">
            <w:pPr>
              <w:jc w:val="center"/>
              <w:rPr>
                <w:b/>
                <w:bCs/>
                <w:lang w:eastAsia="es-MX"/>
              </w:rPr>
            </w:pPr>
            <w:r w:rsidRPr="008913ED">
              <w:rPr>
                <w:b/>
                <w:bCs/>
                <w:lang w:eastAsia="es-MX"/>
              </w:rPr>
              <w:t>Aporte comunitario</w:t>
            </w:r>
          </w:p>
        </w:tc>
      </w:tr>
      <w:tr w:rsidR="00CE4451" w:rsidRPr="008913ED" w14:paraId="51E2065F" w14:textId="77777777" w:rsidTr="008A01E3">
        <w:tc>
          <w:tcPr>
            <w:tcW w:w="0" w:type="auto"/>
            <w:hideMark/>
          </w:tcPr>
          <w:p w14:paraId="258ECA0C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Honorarios</w:t>
            </w:r>
          </w:p>
        </w:tc>
        <w:tc>
          <w:tcPr>
            <w:tcW w:w="0" w:type="auto"/>
            <w:hideMark/>
          </w:tcPr>
          <w:p w14:paraId="71E9EC06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Formadores (3), coordinador, auxiliares</w:t>
            </w:r>
          </w:p>
        </w:tc>
        <w:tc>
          <w:tcPr>
            <w:tcW w:w="0" w:type="auto"/>
            <w:hideMark/>
          </w:tcPr>
          <w:p w14:paraId="36108ED4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$60.000.000</w:t>
            </w:r>
          </w:p>
        </w:tc>
        <w:tc>
          <w:tcPr>
            <w:tcW w:w="0" w:type="auto"/>
            <w:hideMark/>
          </w:tcPr>
          <w:p w14:paraId="34441D2E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Ministerio de Cultura</w:t>
            </w:r>
          </w:p>
        </w:tc>
        <w:tc>
          <w:tcPr>
            <w:tcW w:w="0" w:type="auto"/>
            <w:hideMark/>
          </w:tcPr>
          <w:p w14:paraId="34203019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–</w:t>
            </w:r>
          </w:p>
        </w:tc>
      </w:tr>
      <w:tr w:rsidR="00CE4451" w:rsidRPr="008913ED" w14:paraId="2C002D82" w14:textId="77777777" w:rsidTr="008A01E3">
        <w:tc>
          <w:tcPr>
            <w:tcW w:w="0" w:type="auto"/>
            <w:hideMark/>
          </w:tcPr>
          <w:p w14:paraId="671B5BCD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Materiales</w:t>
            </w:r>
          </w:p>
        </w:tc>
        <w:tc>
          <w:tcPr>
            <w:tcW w:w="0" w:type="auto"/>
            <w:hideMark/>
          </w:tcPr>
          <w:p w14:paraId="1F9DB9E4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Manuales, cartillas, equipos audiovisuales</w:t>
            </w:r>
          </w:p>
        </w:tc>
        <w:tc>
          <w:tcPr>
            <w:tcW w:w="0" w:type="auto"/>
            <w:hideMark/>
          </w:tcPr>
          <w:p w14:paraId="00F12152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$20.000.000</w:t>
            </w:r>
          </w:p>
        </w:tc>
        <w:tc>
          <w:tcPr>
            <w:tcW w:w="0" w:type="auto"/>
            <w:hideMark/>
          </w:tcPr>
          <w:p w14:paraId="3D97F0D3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Gobernación del Chocó</w:t>
            </w:r>
          </w:p>
        </w:tc>
        <w:tc>
          <w:tcPr>
            <w:tcW w:w="0" w:type="auto"/>
            <w:hideMark/>
          </w:tcPr>
          <w:p w14:paraId="08FEA4AD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–</w:t>
            </w:r>
          </w:p>
        </w:tc>
      </w:tr>
      <w:tr w:rsidR="00CE4451" w:rsidRPr="008913ED" w14:paraId="2360B030" w14:textId="77777777" w:rsidTr="008A01E3">
        <w:tc>
          <w:tcPr>
            <w:tcW w:w="0" w:type="auto"/>
            <w:hideMark/>
          </w:tcPr>
          <w:p w14:paraId="1DDE9198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Logística</w:t>
            </w:r>
          </w:p>
        </w:tc>
        <w:tc>
          <w:tcPr>
            <w:tcW w:w="0" w:type="auto"/>
            <w:hideMark/>
          </w:tcPr>
          <w:p w14:paraId="7E8444FD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Transporte, alimentación, alquiler de equipos</w:t>
            </w:r>
          </w:p>
        </w:tc>
        <w:tc>
          <w:tcPr>
            <w:tcW w:w="0" w:type="auto"/>
            <w:hideMark/>
          </w:tcPr>
          <w:p w14:paraId="335796C5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$25.000.000</w:t>
            </w:r>
          </w:p>
        </w:tc>
        <w:tc>
          <w:tcPr>
            <w:tcW w:w="0" w:type="auto"/>
            <w:hideMark/>
          </w:tcPr>
          <w:p w14:paraId="423FDCF5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Ministerio de Cultura</w:t>
            </w:r>
          </w:p>
        </w:tc>
        <w:tc>
          <w:tcPr>
            <w:tcW w:w="0" w:type="auto"/>
            <w:hideMark/>
          </w:tcPr>
          <w:p w14:paraId="270C713B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Uso de salones comunales</w:t>
            </w:r>
          </w:p>
        </w:tc>
      </w:tr>
      <w:tr w:rsidR="00CE4451" w:rsidRPr="008913ED" w14:paraId="79FF600A" w14:textId="77777777" w:rsidTr="008A01E3">
        <w:tc>
          <w:tcPr>
            <w:tcW w:w="0" w:type="auto"/>
            <w:hideMark/>
          </w:tcPr>
          <w:p w14:paraId="4F53ED6A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Pilotos</w:t>
            </w:r>
          </w:p>
        </w:tc>
        <w:tc>
          <w:tcPr>
            <w:tcW w:w="0" w:type="auto"/>
            <w:hideMark/>
          </w:tcPr>
          <w:p w14:paraId="61C7DC63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Ejecución de 3 proyectos culturales piloto</w:t>
            </w:r>
          </w:p>
        </w:tc>
        <w:tc>
          <w:tcPr>
            <w:tcW w:w="0" w:type="auto"/>
            <w:hideMark/>
          </w:tcPr>
          <w:p w14:paraId="4B5EBCD9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$15.000.000</w:t>
            </w:r>
          </w:p>
        </w:tc>
        <w:tc>
          <w:tcPr>
            <w:tcW w:w="0" w:type="auto"/>
            <w:hideMark/>
          </w:tcPr>
          <w:p w14:paraId="0C7FA67B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Gobernación del Chocó</w:t>
            </w:r>
          </w:p>
        </w:tc>
        <w:tc>
          <w:tcPr>
            <w:tcW w:w="0" w:type="auto"/>
            <w:hideMark/>
          </w:tcPr>
          <w:p w14:paraId="18226167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Trabajo voluntario de gestores</w:t>
            </w:r>
          </w:p>
        </w:tc>
      </w:tr>
      <w:tr w:rsidR="00CE4451" w:rsidRPr="008913ED" w14:paraId="57CFF5EB" w14:textId="77777777" w:rsidTr="008A01E3">
        <w:tc>
          <w:tcPr>
            <w:tcW w:w="0" w:type="auto"/>
            <w:hideMark/>
          </w:tcPr>
          <w:p w14:paraId="5514659B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Evaluación y cierre</w:t>
            </w:r>
          </w:p>
        </w:tc>
        <w:tc>
          <w:tcPr>
            <w:tcW w:w="0" w:type="auto"/>
            <w:hideMark/>
          </w:tcPr>
          <w:p w14:paraId="0A8ABC76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Sistematización, informe final, socialización</w:t>
            </w:r>
          </w:p>
        </w:tc>
        <w:tc>
          <w:tcPr>
            <w:tcW w:w="0" w:type="auto"/>
            <w:hideMark/>
          </w:tcPr>
          <w:p w14:paraId="076CA37B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$10.000.000</w:t>
            </w:r>
          </w:p>
        </w:tc>
        <w:tc>
          <w:tcPr>
            <w:tcW w:w="0" w:type="auto"/>
            <w:hideMark/>
          </w:tcPr>
          <w:p w14:paraId="6DC86A64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Cofinanciación</w:t>
            </w:r>
          </w:p>
        </w:tc>
        <w:tc>
          <w:tcPr>
            <w:tcW w:w="0" w:type="auto"/>
            <w:hideMark/>
          </w:tcPr>
          <w:p w14:paraId="3CA66DD2" w14:textId="77777777" w:rsidR="00CE4451" w:rsidRPr="008913ED" w:rsidRDefault="00CE4451" w:rsidP="008A01E3">
            <w:pPr>
              <w:rPr>
                <w:lang w:eastAsia="es-MX"/>
              </w:rPr>
            </w:pPr>
            <w:r w:rsidRPr="008913ED">
              <w:rPr>
                <w:lang w:eastAsia="es-MX"/>
              </w:rPr>
              <w:t>Registro audiovisual comunitario</w:t>
            </w:r>
          </w:p>
        </w:tc>
      </w:tr>
    </w:tbl>
    <w:p w14:paraId="601A1009" w14:textId="77777777" w:rsidR="00CE4451" w:rsidRDefault="00CE4451" w:rsidP="00CE4451">
      <w:pPr>
        <w:pStyle w:val="NormalWeb"/>
        <w:spacing w:line="480" w:lineRule="auto"/>
      </w:pPr>
      <w:r>
        <w:rPr>
          <w:rStyle w:val="Textoennegrita"/>
        </w:rPr>
        <w:t>Total, estimado:</w:t>
      </w:r>
      <w:r>
        <w:t xml:space="preserve"> $130.000.000 (más aportes en especie comunitarios).</w:t>
      </w:r>
    </w:p>
    <w:p w14:paraId="62E6170A" w14:textId="77777777" w:rsidR="00CE4451" w:rsidRDefault="00CE4451" w:rsidP="00CE4451">
      <w:pPr>
        <w:pStyle w:val="NormalWeb"/>
        <w:spacing w:line="480" w:lineRule="auto"/>
      </w:pPr>
      <w:r>
        <w:rPr>
          <w:rStyle w:val="Textoennegrita"/>
        </w:rPr>
        <w:t>4. Estrategias de control y transparencia</w:t>
      </w:r>
    </w:p>
    <w:p w14:paraId="300EB872" w14:textId="77777777" w:rsidR="00CE4451" w:rsidRDefault="00CE4451" w:rsidP="00CE4451">
      <w:pPr>
        <w:pStyle w:val="NormalWeb"/>
        <w:numPr>
          <w:ilvl w:val="0"/>
          <w:numId w:val="6"/>
        </w:numPr>
        <w:spacing w:line="480" w:lineRule="auto"/>
      </w:pPr>
      <w:r>
        <w:rPr>
          <w:rStyle w:val="Textoennegrita"/>
        </w:rPr>
        <w:t>Explicación:</w:t>
      </w:r>
      <w:r>
        <w:t xml:space="preserve"> Se definen mecanismos de seguimiento al uso del dinero.</w:t>
      </w:r>
    </w:p>
    <w:p w14:paraId="3FC6B0C6" w14:textId="77777777" w:rsidR="00CE4451" w:rsidRDefault="00CE4451" w:rsidP="00CE4451">
      <w:pPr>
        <w:pStyle w:val="NormalWeb"/>
        <w:numPr>
          <w:ilvl w:val="0"/>
          <w:numId w:val="6"/>
        </w:numPr>
        <w:spacing w:line="480" w:lineRule="auto"/>
      </w:pPr>
      <w:r>
        <w:rPr>
          <w:rStyle w:val="Textoennegrita"/>
        </w:rPr>
        <w:t>Ejemplo:</w:t>
      </w:r>
    </w:p>
    <w:p w14:paraId="44788115" w14:textId="77777777" w:rsidR="00CE4451" w:rsidRDefault="00CE4451" w:rsidP="00CE4451">
      <w:pPr>
        <w:pStyle w:val="NormalWeb"/>
        <w:numPr>
          <w:ilvl w:val="1"/>
          <w:numId w:val="6"/>
        </w:numPr>
        <w:spacing w:line="480" w:lineRule="auto"/>
      </w:pPr>
      <w:r>
        <w:t>Comité financiero integrado por coordinador, representante institucional y líder comunitario.</w:t>
      </w:r>
    </w:p>
    <w:p w14:paraId="5DFCE4B5" w14:textId="77777777" w:rsidR="00CE4451" w:rsidRDefault="00CE4451" w:rsidP="00CE4451">
      <w:pPr>
        <w:pStyle w:val="NormalWeb"/>
        <w:numPr>
          <w:ilvl w:val="1"/>
          <w:numId w:val="6"/>
        </w:numPr>
        <w:spacing w:line="480" w:lineRule="auto"/>
      </w:pPr>
      <w:r>
        <w:t>Reportes mensuales de ejecución presupuestal.</w:t>
      </w:r>
    </w:p>
    <w:p w14:paraId="49DEEB0A" w14:textId="77777777" w:rsidR="00CE4451" w:rsidRDefault="00CE4451" w:rsidP="00CE4451">
      <w:pPr>
        <w:pStyle w:val="NormalWeb"/>
        <w:numPr>
          <w:ilvl w:val="1"/>
          <w:numId w:val="6"/>
        </w:numPr>
        <w:spacing w:line="480" w:lineRule="auto"/>
      </w:pPr>
      <w:r>
        <w:t>Publicación de informes simplificados para la comunidad.</w:t>
      </w:r>
    </w:p>
    <w:p w14:paraId="1FA13853" w14:textId="77777777" w:rsidR="002417FE" w:rsidRPr="00CE4451" w:rsidRDefault="002417FE" w:rsidP="00CE4451"/>
    <w:sectPr w:rsidR="002417FE" w:rsidRPr="00CE445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19D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E3631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0052F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3B798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364ED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B44AB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7FE"/>
    <w:rsid w:val="002417FE"/>
    <w:rsid w:val="00CE4451"/>
    <w:rsid w:val="00E0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93F92"/>
  <w15:chartTrackingRefBased/>
  <w15:docId w15:val="{426CBEAD-DD17-1740-BBB8-66F4C0B44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417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417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417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417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417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417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417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417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417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417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417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417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417F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417F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417F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417F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417F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417F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417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417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417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417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417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417F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417F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417F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417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417F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417F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2417FE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Textoennegrita">
    <w:name w:val="Strong"/>
    <w:basedOn w:val="Fuentedeprrafopredeter"/>
    <w:uiPriority w:val="22"/>
    <w:qFormat/>
    <w:rsid w:val="002417FE"/>
    <w:rPr>
      <w:b/>
      <w:bCs/>
    </w:rPr>
  </w:style>
  <w:style w:type="table" w:customStyle="1" w:styleId="APA7">
    <w:name w:val="APA 7"/>
    <w:basedOn w:val="Tablanormal"/>
    <w:uiPriority w:val="99"/>
    <w:rsid w:val="00CE4451"/>
    <w:pPr>
      <w:spacing w:after="0" w:line="240" w:lineRule="auto"/>
    </w:pPr>
    <w:rPr>
      <w:rFonts w:ascii="Times New Roman" w:eastAsia="Times New Roman" w:hAnsi="Times New Roman" w:cs="Times New Roman"/>
      <w:kern w:val="0"/>
      <w:lang w:eastAsia="es-ES"/>
      <w14:ligatures w14:val="none"/>
    </w:rPr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16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YEIDER GERARDO ARBOLEDA IBARGUEN</dc:creator>
  <cp:keywords/>
  <dc:description/>
  <cp:lastModifiedBy>paola fernanda viveros posso</cp:lastModifiedBy>
  <cp:revision>3</cp:revision>
  <dcterms:created xsi:type="dcterms:W3CDTF">2025-09-16T15:36:00Z</dcterms:created>
  <dcterms:modified xsi:type="dcterms:W3CDTF">2025-10-06T01:45:00Z</dcterms:modified>
</cp:coreProperties>
</file>